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before="2880"/>
      </w:pPr>
      <w:r>
        <w:rPr>
          <w:rFonts w:ascii="Arial" w:cs="Arial" w:eastAsia="Arial" w:hAnsi="Arial"/>
          <w:b/>
          <w:bCs/>
          <w:color w:val="1A1A1A"/>
          <w:sz w:val="64"/>
          <w:szCs w:val="64"/>
        </w:rPr>
        <w:t xml:space="preserve">Veyra Fellows</w:t>
      </w:r>
    </w:p>
    <w:p>
      <w:pPr>
        <w:spacing w:after="400"/>
      </w:pPr>
      <w:r>
        <w:rPr>
          <w:rFonts w:ascii="Arial" w:cs="Arial" w:eastAsia="Arial" w:hAnsi="Arial"/>
          <w:i/>
          <w:iCs/>
          <w:color w:val="555555"/>
          <w:sz w:val="36"/>
          <w:szCs w:val="36"/>
        </w:rPr>
        <w:t xml:space="preserve">Postdoctoral Fellowship Handbook</w:t>
      </w:r>
    </w:p>
    <w:p>
      <w:pPr>
        <w:spacing w:after="200"/>
      </w:pPr>
      <w:r>
        <w:rPr>
          <w:rFonts w:ascii="Arial" w:cs="Arial" w:eastAsia="Arial" w:hAnsi="Arial"/>
          <w:color w:val="555555"/>
          <w:sz w:val="24"/>
          <w:szCs w:val="24"/>
        </w:rPr>
        <w:t xml:space="preserve">Veyra Institute for Applied Sciences</w:t>
      </w:r>
    </w:p>
    <w:p>
      <w:pPr>
        <w:spacing w:after="200"/>
      </w:pPr>
      <w:r>
        <w:rPr>
          <w:rFonts w:ascii="Arial" w:cs="Arial" w:eastAsia="Arial" w:hAnsi="Arial"/>
          <w:color w:val="555555"/>
          <w:sz w:val="22"/>
          <w:szCs w:val="22"/>
        </w:rPr>
        <w:t xml:space="preserve">14 Aldermere Way, Arenfield AR-4400</w:t>
      </w:r>
    </w:p>
    <w:p>
      <w:pPr>
        <w:spacing w:after="80"/>
      </w:pPr>
      <w:r>
        <w:rPr>
          <w:rFonts w:ascii="Arial" w:cs="Arial" w:eastAsia="Arial" w:hAnsi="Arial"/>
          <w:color w:val="555555"/>
          <w:sz w:val="22"/>
          <w:szCs w:val="22"/>
        </w:rPr>
        <w:t xml:space="preserve">Version 4.2</w:t>
      </w:r>
    </w:p>
    <w:p>
      <w:pPr>
        <w:spacing w:after="80"/>
      </w:pPr>
      <w:r>
        <w:rPr>
          <w:rFonts w:ascii="Arial" w:cs="Arial" w:eastAsia="Arial" w:hAnsi="Arial"/>
          <w:color w:val="555555"/>
          <w:sz w:val="22"/>
          <w:szCs w:val="22"/>
        </w:rPr>
        <w:t xml:space="preserve">Academic Year 2025–2026</w:t>
      </w:r>
    </w:p>
    <w:p>
      <w:r>
        <w:br w:type="page"/>
      </w:r>
    </w:p>
    <w:p>
      <w:pPr>
        <w:pStyle w:val="Heading1"/>
      </w:pPr>
      <w:r>
        <w:rPr>
          <w:rFonts w:ascii="Arial" w:cs="Arial" w:eastAsia="Arial" w:hAnsi="Arial"/>
          <w:b/>
          <w:bCs/>
          <w:color w:val="1A1A1A"/>
          <w:sz w:val="44"/>
          <w:szCs w:val="44"/>
        </w:rPr>
        <w:t xml:space="preserve">1. Welcome from the Dean of the Graduate School</w:t>
      </w:r>
    </w:p>
    <w:p>
      <w:pPr>
        <w:spacing w:after="160"/>
      </w:pPr>
      <w:r>
        <w:rPr>
          <w:rFonts w:ascii="Arial" w:cs="Arial" w:eastAsia="Arial" w:hAnsi="Arial"/>
          <w:b w:val="false"/>
          <w:bCs w:val="false"/>
          <w:color w:val="1A1A1A"/>
          <w:sz w:val="22"/>
          <w:szCs w:val="22"/>
        </w:rPr>
        <w:t xml:space="preserve">On behalf of the entire Veyra Institute community, we welcome you to the Veyra Fellows program. Established in 2003, Veyra Fellows is our flagship postdoctoral initiative, designed to support exceptional early-career researchers and accelerate their transition into independent scientific leadership.</w:t>
      </w:r>
    </w:p>
    <w:p>
      <w:pPr>
        <w:spacing w:after="160"/>
      </w:pPr>
      <w:r>
        <w:rPr>
          <w:rFonts w:ascii="Arial" w:cs="Arial" w:eastAsia="Arial" w:hAnsi="Arial"/>
          <w:b w:val="false"/>
          <w:bCs w:val="false"/>
          <w:color w:val="1A1A1A"/>
          <w:sz w:val="22"/>
          <w:szCs w:val="22"/>
        </w:rPr>
        <w:t xml:space="preserve">This handbook sets out the program's expectations, benefits, and administrative procedures. Please read it carefully and retain it for reference throughout your fellowship. Our Graduate School team is available to assist with any questions not answered here.</w:t>
      </w:r>
    </w:p>
    <w:p>
      <w:pPr>
        <w:spacing w:after="160"/>
      </w:pPr>
      <w:r>
        <w:rPr>
          <w:rFonts w:ascii="Arial" w:cs="Arial" w:eastAsia="Arial" w:hAnsi="Arial"/>
          <w:b w:val="false"/>
          <w:bCs w:val="false"/>
          <w:color w:val="1A1A1A"/>
          <w:sz w:val="22"/>
          <w:szCs w:val="22"/>
        </w:rPr>
        <w:t xml:space="preserve">We look forward to your contributions to our research community.</w:t>
      </w:r>
    </w:p>
    <w:p>
      <w:pPr>
        <w:spacing w:after="200"/>
      </w:pPr>
      <w:r>
        <w:t xml:space="preserve"/>
      </w:r>
    </w:p>
    <w:p>
      <w:pPr>
        <w:spacing w:after="160"/>
      </w:pPr>
      <w:r>
        <w:rPr>
          <w:rFonts w:ascii="Arial" w:cs="Arial" w:eastAsia="Arial" w:hAnsi="Arial"/>
          <w:b/>
          <w:bCs/>
          <w:color w:val="1A1A1A"/>
          <w:sz w:val="22"/>
          <w:szCs w:val="22"/>
        </w:rPr>
        <w:t xml:space="preserve">Prof. Idris Komnenos</w:t>
      </w:r>
    </w:p>
    <w:p>
      <w:pPr>
        <w:spacing w:after="160"/>
      </w:pPr>
      <w:r>
        <w:rPr>
          <w:rFonts w:ascii="Arial" w:cs="Arial" w:eastAsia="Arial" w:hAnsi="Arial"/>
          <w:b w:val="false"/>
          <w:bCs w:val="false"/>
          <w:color w:val="1A1A1A"/>
          <w:sz w:val="22"/>
          <w:szCs w:val="22"/>
        </w:rPr>
        <w:t xml:space="preserve">Dean of the Graduate School, Veyra Institute for Applied Sciences</w:t>
      </w:r>
    </w:p>
    <w:p>
      <w:pPr>
        <w:pStyle w:val="Heading1"/>
      </w:pPr>
      <w:r>
        <w:rPr>
          <w:rFonts w:ascii="Arial" w:cs="Arial" w:eastAsia="Arial" w:hAnsi="Arial"/>
          <w:b/>
          <w:bCs/>
          <w:color w:val="1A1A1A"/>
          <w:sz w:val="44"/>
          <w:szCs w:val="44"/>
        </w:rPr>
        <w:t xml:space="preserve">2. Program Overview</w:t>
      </w:r>
    </w:p>
    <w:p>
      <w:pPr>
        <w:spacing w:after="160"/>
      </w:pPr>
      <w:r>
        <w:rPr>
          <w:rFonts w:ascii="Arial" w:cs="Arial" w:eastAsia="Arial" w:hAnsi="Arial"/>
          <w:b w:val="false"/>
          <w:bCs w:val="false"/>
          <w:color w:val="1A1A1A"/>
          <w:sz w:val="22"/>
          <w:szCs w:val="22"/>
        </w:rPr>
        <w:t xml:space="preserve">The Veyra Fellows postdoctoral fellowship provides independent researchers with protected time, competitive funding, and structured career support within one of five research divisions at the Institute. Fellows are expected to pursue original research, mentor graduate students, contribute to the scholarly life of their host division, and prepare for independent positions in academia, industry, or the public sector.</w:t>
      </w:r>
    </w:p>
    <w:p>
      <w:pPr>
        <w:spacing w:after="160"/>
      </w:pPr>
      <w:r>
        <w:rPr>
          <w:rFonts w:ascii="Arial" w:cs="Arial" w:eastAsia="Arial" w:hAnsi="Arial"/>
          <w:b w:val="false"/>
          <w:bCs w:val="false"/>
          <w:color w:val="1A1A1A"/>
          <w:sz w:val="22"/>
          <w:szCs w:val="22"/>
        </w:rPr>
        <w:t xml:space="preserve">Fellows are appointed to one of the following divisions:</w:t>
      </w:r>
    </w:p>
    <w:p>
      <w:pPr>
        <w:pStyle w:val="ListParagraph"/>
        <w:numPr>
          <w:ilvl w:val="0"/>
          <w:numId w:val="2"/>
        </w:numPr>
        <w:spacing w:after="80"/>
      </w:pPr>
      <w:r>
        <w:rPr>
          <w:rFonts w:ascii="Arial" w:cs="Arial" w:eastAsia="Arial" w:hAnsi="Arial"/>
          <w:sz w:val="22"/>
          <w:szCs w:val="22"/>
        </w:rPr>
        <w:t xml:space="preserve">Computational &amp; Data Systems (CDS)</w:t>
      </w:r>
    </w:p>
    <w:p>
      <w:pPr>
        <w:pStyle w:val="ListParagraph"/>
        <w:numPr>
          <w:ilvl w:val="0"/>
          <w:numId w:val="2"/>
        </w:numPr>
        <w:spacing w:after="80"/>
      </w:pPr>
      <w:r>
        <w:rPr>
          <w:rFonts w:ascii="Arial" w:cs="Arial" w:eastAsia="Arial" w:hAnsi="Arial"/>
          <w:sz w:val="22"/>
          <w:szCs w:val="22"/>
        </w:rPr>
        <w:t xml:space="preserve">Molecular &amp; Materials Engineering (MME)</w:t>
      </w:r>
    </w:p>
    <w:p>
      <w:pPr>
        <w:pStyle w:val="ListParagraph"/>
        <w:numPr>
          <w:ilvl w:val="0"/>
          <w:numId w:val="2"/>
        </w:numPr>
        <w:spacing w:after="80"/>
      </w:pPr>
      <w:r>
        <w:rPr>
          <w:rFonts w:ascii="Arial" w:cs="Arial" w:eastAsia="Arial" w:hAnsi="Arial"/>
          <w:sz w:val="22"/>
          <w:szCs w:val="22"/>
        </w:rPr>
        <w:t xml:space="preserve">Quantum &amp; Photonic Systems (QPS)</w:t>
      </w:r>
    </w:p>
    <w:p>
      <w:pPr>
        <w:pStyle w:val="ListParagraph"/>
        <w:numPr>
          <w:ilvl w:val="0"/>
          <w:numId w:val="2"/>
        </w:numPr>
        <w:spacing w:after="80"/>
      </w:pPr>
      <w:r>
        <w:rPr>
          <w:rFonts w:ascii="Arial" w:cs="Arial" w:eastAsia="Arial" w:hAnsi="Arial"/>
          <w:sz w:val="22"/>
          <w:szCs w:val="22"/>
        </w:rPr>
        <w:t xml:space="preserve">Cognitive &amp; Neural Science (CNS)</w:t>
      </w:r>
    </w:p>
    <w:p>
      <w:pPr>
        <w:pStyle w:val="ListParagraph"/>
        <w:numPr>
          <w:ilvl w:val="0"/>
          <w:numId w:val="2"/>
        </w:numPr>
        <w:spacing w:after="80"/>
      </w:pPr>
      <w:r>
        <w:rPr>
          <w:rFonts w:ascii="Arial" w:cs="Arial" w:eastAsia="Arial" w:hAnsi="Arial"/>
          <w:sz w:val="22"/>
          <w:szCs w:val="22"/>
        </w:rPr>
        <w:t xml:space="preserve">Earth &amp; Climate Systems (ECS)</w:t>
      </w:r>
    </w:p>
    <w:p>
      <w:pPr>
        <w:spacing w:after="160"/>
      </w:pPr>
      <w:r>
        <w:rPr>
          <w:rFonts w:ascii="Arial" w:cs="Arial" w:eastAsia="Arial" w:hAnsi="Arial"/>
          <w:b w:val="false"/>
          <w:bCs w:val="false"/>
          <w:color w:val="1A1A1A"/>
          <w:sz w:val="22"/>
          <w:szCs w:val="22"/>
        </w:rPr>
        <w:t xml:space="preserve">Each fellow is assigned a primary mentor (a division Principal Investigator) and an advisory committee of two additional faculty members from within or outside the Institute.</w:t>
      </w:r>
    </w:p>
    <w:p>
      <w:pPr>
        <w:pStyle w:val="Heading1"/>
      </w:pPr>
      <w:r>
        <w:rPr>
          <w:rFonts w:ascii="Arial" w:cs="Arial" w:eastAsia="Arial" w:hAnsi="Arial"/>
          <w:b/>
          <w:bCs/>
          <w:color w:val="1A1A1A"/>
          <w:sz w:val="44"/>
          <w:szCs w:val="44"/>
        </w:rPr>
        <w:t xml:space="preserve">3. Eligibility</w:t>
      </w:r>
    </w:p>
    <w:p>
      <w:pPr>
        <w:spacing w:after="160"/>
      </w:pPr>
      <w:r>
        <w:rPr>
          <w:rFonts w:ascii="Arial" w:cs="Arial" w:eastAsia="Arial" w:hAnsi="Arial"/>
          <w:b w:val="false"/>
          <w:bCs w:val="false"/>
          <w:color w:val="1A1A1A"/>
          <w:sz w:val="22"/>
          <w:szCs w:val="22"/>
        </w:rPr>
        <w:t xml:space="preserve">Applicants must meet all of the following criteria at the time of appointment:</w:t>
      </w:r>
    </w:p>
    <w:p>
      <w:pPr>
        <w:pStyle w:val="ListParagraph"/>
        <w:numPr>
          <w:ilvl w:val="0"/>
          <w:numId w:val="3"/>
        </w:numPr>
        <w:spacing w:after="80"/>
      </w:pPr>
      <w:r>
        <w:rPr>
          <w:rFonts w:ascii="Arial" w:cs="Arial" w:eastAsia="Arial" w:hAnsi="Arial"/>
          <w:sz w:val="22"/>
          <w:szCs w:val="22"/>
        </w:rPr>
        <w:t xml:space="preserve">Hold, or be within six months of completing, a doctoral degree (PhD or equivalent) from an accredited institution.</w:t>
      </w:r>
    </w:p>
    <w:p>
      <w:pPr>
        <w:pStyle w:val="ListParagraph"/>
        <w:numPr>
          <w:ilvl w:val="0"/>
          <w:numId w:val="3"/>
        </w:numPr>
        <w:spacing w:after="80"/>
      </w:pPr>
      <w:r>
        <w:rPr>
          <w:rFonts w:ascii="Arial" w:cs="Arial" w:eastAsia="Arial" w:hAnsi="Arial"/>
          <w:sz w:val="22"/>
          <w:szCs w:val="22"/>
        </w:rPr>
        <w:t xml:space="preserve">Have no more than four years of postdoctoral research experience (from date of first postdoctoral appointment).</w:t>
      </w:r>
    </w:p>
    <w:p>
      <w:pPr>
        <w:pStyle w:val="ListParagraph"/>
        <w:numPr>
          <w:ilvl w:val="0"/>
          <w:numId w:val="3"/>
        </w:numPr>
        <w:spacing w:after="80"/>
      </w:pPr>
      <w:r>
        <w:rPr>
          <w:rFonts w:ascii="Arial" w:cs="Arial" w:eastAsia="Arial" w:hAnsi="Arial"/>
          <w:sz w:val="22"/>
          <w:szCs w:val="22"/>
        </w:rPr>
        <w:t xml:space="preserve">Not have held, and not be currently holding, a faculty or permanent research staff position at any institution.</w:t>
      </w:r>
    </w:p>
    <w:p>
      <w:pPr>
        <w:pStyle w:val="ListParagraph"/>
        <w:numPr>
          <w:ilvl w:val="0"/>
          <w:numId w:val="3"/>
        </w:numPr>
        <w:spacing w:after="80"/>
      </w:pPr>
      <w:r>
        <w:rPr>
          <w:rFonts w:ascii="Arial" w:cs="Arial" w:eastAsia="Arial" w:hAnsi="Arial"/>
          <w:sz w:val="22"/>
          <w:szCs w:val="22"/>
        </w:rPr>
        <w:t xml:space="preserve">Have a confirmed primary mentor at the Institute who has submitted a co-nomination letter.</w:t>
      </w:r>
    </w:p>
    <w:p>
      <w:pPr>
        <w:spacing w:after="160"/>
      </w:pPr>
      <w:r>
        <w:rPr>
          <w:rFonts w:ascii="Arial" w:cs="Arial" w:eastAsia="Arial" w:hAnsi="Arial"/>
          <w:b w:val="false"/>
          <w:bCs w:val="false"/>
          <w:color w:val="1A1A1A"/>
          <w:sz w:val="22"/>
          <w:szCs w:val="22"/>
        </w:rPr>
        <w:t xml:space="preserve">There is no restriction on nationality. Applicants who have previously been employed by Veyra in a non-fellow capacity must obtain written clearance from the Director of Human Resources before applying.</w:t>
      </w:r>
    </w:p>
    <w:p>
      <w:pPr>
        <w:pStyle w:val="Heading1"/>
      </w:pPr>
      <w:r>
        <w:rPr>
          <w:rFonts w:ascii="Arial" w:cs="Arial" w:eastAsia="Arial" w:hAnsi="Arial"/>
          <w:b/>
          <w:bCs/>
          <w:color w:val="1A1A1A"/>
          <w:sz w:val="44"/>
          <w:szCs w:val="44"/>
        </w:rPr>
        <w:t xml:space="preserve">4. Duration and Renewal</w:t>
      </w:r>
    </w:p>
    <w:p>
      <w:pPr>
        <w:spacing w:after="160"/>
      </w:pPr>
      <w:r>
        <w:rPr>
          <w:rFonts w:ascii="Arial" w:cs="Arial" w:eastAsia="Arial" w:hAnsi="Arial"/>
          <w:b w:val="false"/>
          <w:bCs w:val="false"/>
          <w:color w:val="1A1A1A"/>
          <w:sz w:val="22"/>
          <w:szCs w:val="22"/>
        </w:rPr>
        <w:t xml:space="preserve">Standard fellowships are awarded for two years, with the option of a one-year renewal on merit, subject to satisfactory progress review and availability of funds. The maximum total duration is three years.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00"/>
        <w:gridCol w:w="3800"/>
        <w:gridCol w:w="3780"/>
      </w:tblGrid>
      <w:tr>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Period</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Duration</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Condition</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Initial appointment</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24 months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Standard award</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Renewal</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12 months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Positive mid-term review + divisional approval</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Maximum total</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36 months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Absolute limit; no further extensions</w:t>
            </w:r>
          </w:p>
        </w:tc>
      </w:tr>
    </w:tbl>
    <w:p>
      <w:pPr>
        <w:spacing w:after="200"/>
      </w:pPr>
      <w:r>
        <w:t xml:space="preserve"/>
      </w:r>
    </w:p>
    <w:p>
      <w:pPr>
        <w:pStyle w:val="Heading1"/>
      </w:pPr>
      <w:r>
        <w:rPr>
          <w:rFonts w:ascii="Arial" w:cs="Arial" w:eastAsia="Arial" w:hAnsi="Arial"/>
          <w:b/>
          <w:bCs/>
          <w:color w:val="1A1A1A"/>
          <w:sz w:val="44"/>
          <w:szCs w:val="44"/>
        </w:rPr>
        <w:t xml:space="preserve">5. Stipend and Benefits</w:t>
      </w:r>
    </w:p>
    <w:p>
      <w:pPr>
        <w:spacing w:after="160"/>
      </w:pPr>
      <w:r>
        <w:rPr>
          <w:rFonts w:ascii="Arial" w:cs="Arial" w:eastAsia="Arial" w:hAnsi="Arial"/>
          <w:b w:val="false"/>
          <w:bCs w:val="false"/>
          <w:color w:val="1A1A1A"/>
          <w:sz w:val="22"/>
          <w:szCs w:val="22"/>
        </w:rPr>
        <w:t xml:space="preserve">Veyra Fellows receive a competitive stipend, access to Institute benefits, and an annual research budget. All figures below are in Veyra credits (cr).</w:t>
      </w:r>
    </w:p>
    <w:p>
      <w:pPr>
        <w:pStyle w:val="Heading2"/>
      </w:pPr>
      <w:r>
        <w:rPr>
          <w:rFonts w:ascii="Arial" w:cs="Arial" w:eastAsia="Arial" w:hAnsi="Arial"/>
          <w:b/>
          <w:bCs/>
          <w:color w:val="1A1A1A"/>
          <w:sz w:val="32"/>
          <w:szCs w:val="32"/>
        </w:rPr>
        <w:t xml:space="preserve">5.1 Stipend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00"/>
        <w:gridCol w:w="3040"/>
        <w:gridCol w:w="3040"/>
      </w:tblGrid>
      <w:tr>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Category</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Year 1</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Year 2–3</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Base stipend</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54,000 cr/yr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56,500 cr/yr</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Research allowance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8,000 cr/yr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8,000 cr/yr</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Conference travel</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2,500 cr/yr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2,500 cr/yr</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Relocation support (once)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Up to 4,000 cr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N/A</w:t>
            </w:r>
          </w:p>
        </w:tc>
      </w:tr>
    </w:tbl>
    <w:p>
      <w:pPr>
        <w:spacing w:after="200"/>
      </w:pPr>
      <w:r>
        <w:t xml:space="preserve"/>
      </w:r>
    </w:p>
    <w:p>
      <w:pPr>
        <w:pStyle w:val="Heading2"/>
      </w:pPr>
      <w:r>
        <w:rPr>
          <w:rFonts w:ascii="Arial" w:cs="Arial" w:eastAsia="Arial" w:hAnsi="Arial"/>
          <w:b/>
          <w:bCs/>
          <w:color w:val="1A1A1A"/>
          <w:sz w:val="32"/>
          <w:szCs w:val="32"/>
        </w:rPr>
        <w:t xml:space="preserve">5.2 Benefits</w:t>
      </w:r>
    </w:p>
    <w:p>
      <w:pPr>
        <w:pStyle w:val="ListParagraph"/>
        <w:numPr>
          <w:ilvl w:val="0"/>
          <w:numId w:val="2"/>
        </w:numPr>
        <w:spacing w:after="80"/>
      </w:pPr>
      <w:r>
        <w:rPr>
          <w:rFonts w:ascii="Arial" w:cs="Arial" w:eastAsia="Arial" w:hAnsi="Arial"/>
          <w:sz w:val="22"/>
          <w:szCs w:val="22"/>
        </w:rPr>
        <w:t xml:space="preserve">Full enrollment in the Institute's health and wellness plan (Fellow + dependents).</w:t>
      </w:r>
    </w:p>
    <w:p>
      <w:pPr>
        <w:pStyle w:val="ListParagraph"/>
        <w:numPr>
          <w:ilvl w:val="0"/>
          <w:numId w:val="2"/>
        </w:numPr>
        <w:spacing w:after="80"/>
      </w:pPr>
      <w:r>
        <w:rPr>
          <w:rFonts w:ascii="Arial" w:cs="Arial" w:eastAsia="Arial" w:hAnsi="Arial"/>
          <w:sz w:val="22"/>
          <w:szCs w:val="22"/>
        </w:rPr>
        <w:t xml:space="preserve">Access to all five core facilities at internal rates.</w:t>
      </w:r>
    </w:p>
    <w:p>
      <w:pPr>
        <w:pStyle w:val="ListParagraph"/>
        <w:numPr>
          <w:ilvl w:val="0"/>
          <w:numId w:val="2"/>
        </w:numPr>
        <w:spacing w:after="80"/>
      </w:pPr>
      <w:r>
        <w:rPr>
          <w:rFonts w:ascii="Arial" w:cs="Arial" w:eastAsia="Arial" w:hAnsi="Arial"/>
          <w:sz w:val="22"/>
          <w:szCs w:val="22"/>
        </w:rPr>
        <w:t xml:space="preserve">Desk and laboratory space allocated by host division.</w:t>
      </w:r>
    </w:p>
    <w:p>
      <w:pPr>
        <w:pStyle w:val="ListParagraph"/>
        <w:numPr>
          <w:ilvl w:val="0"/>
          <w:numId w:val="2"/>
        </w:numPr>
        <w:spacing w:after="80"/>
      </w:pPr>
      <w:r>
        <w:rPr>
          <w:rFonts w:ascii="Arial" w:cs="Arial" w:eastAsia="Arial" w:hAnsi="Arial"/>
          <w:sz w:val="22"/>
          <w:szCs w:val="22"/>
        </w:rPr>
        <w:t xml:space="preserve">Parking permit (waitlist may apply) or monthly transit credit (400 cr/month).</w:t>
      </w:r>
    </w:p>
    <w:p>
      <w:pPr>
        <w:pStyle w:val="ListParagraph"/>
        <w:numPr>
          <w:ilvl w:val="0"/>
          <w:numId w:val="2"/>
        </w:numPr>
        <w:spacing w:after="80"/>
      </w:pPr>
      <w:r>
        <w:rPr>
          <w:rFonts w:ascii="Arial" w:cs="Arial" w:eastAsia="Arial" w:hAnsi="Arial"/>
          <w:sz w:val="22"/>
          <w:szCs w:val="22"/>
        </w:rPr>
        <w:t xml:space="preserve">Access to Meridian HPC Cluster (no additional charge for up to 500 node-hours/month).</w:t>
      </w:r>
    </w:p>
    <w:p>
      <w:pPr>
        <w:pStyle w:val="ListParagraph"/>
        <w:numPr>
          <w:ilvl w:val="0"/>
          <w:numId w:val="2"/>
        </w:numPr>
        <w:spacing w:after="80"/>
      </w:pPr>
      <w:r>
        <w:rPr>
          <w:rFonts w:ascii="Arial" w:cs="Arial" w:eastAsia="Arial" w:hAnsi="Arial"/>
          <w:sz w:val="22"/>
          <w:szCs w:val="22"/>
        </w:rPr>
        <w:t xml:space="preserve">Childcare subsidy scheme available; contact the Welfare Office for details.</w:t>
      </w:r>
    </w:p>
    <w:p>
      <w:pPr>
        <w:pStyle w:val="Heading1"/>
      </w:pPr>
      <w:r>
        <w:rPr>
          <w:rFonts w:ascii="Arial" w:cs="Arial" w:eastAsia="Arial" w:hAnsi="Arial"/>
          <w:b/>
          <w:bCs/>
          <w:color w:val="1A1A1A"/>
          <w:sz w:val="44"/>
          <w:szCs w:val="44"/>
        </w:rPr>
        <w:t xml:space="preserve">6. Mentorship and Advisory Committee</w:t>
      </w:r>
    </w:p>
    <w:p>
      <w:pPr>
        <w:pStyle w:val="Heading2"/>
      </w:pPr>
      <w:r>
        <w:rPr>
          <w:rFonts w:ascii="Arial" w:cs="Arial" w:eastAsia="Arial" w:hAnsi="Arial"/>
          <w:b/>
          <w:bCs/>
          <w:color w:val="1A1A1A"/>
          <w:sz w:val="32"/>
          <w:szCs w:val="32"/>
        </w:rPr>
        <w:t xml:space="preserve">6.1 Primary Mentor</w:t>
      </w:r>
    </w:p>
    <w:p>
      <w:pPr>
        <w:spacing w:after="160"/>
      </w:pPr>
      <w:r>
        <w:rPr>
          <w:rFonts w:ascii="Arial" w:cs="Arial" w:eastAsia="Arial" w:hAnsi="Arial"/>
          <w:b w:val="false"/>
          <w:bCs w:val="false"/>
          <w:color w:val="1A1A1A"/>
          <w:sz w:val="22"/>
          <w:szCs w:val="22"/>
        </w:rPr>
        <w:t xml:space="preserve">Each Fellow's primary mentor is a serving Principal Investigator who has co-signed the fellowship nomination. The primary mentor is responsible for providing regular scientific guidance (at minimum monthly one-to-one meetings), approving use of the research allowance, and completing the annual Fellow performance review.</w:t>
      </w:r>
    </w:p>
    <w:p>
      <w:pPr>
        <w:pStyle w:val="Heading2"/>
      </w:pPr>
      <w:r>
        <w:rPr>
          <w:rFonts w:ascii="Arial" w:cs="Arial" w:eastAsia="Arial" w:hAnsi="Arial"/>
          <w:b/>
          <w:bCs/>
          <w:color w:val="1A1A1A"/>
          <w:sz w:val="32"/>
          <w:szCs w:val="32"/>
        </w:rPr>
        <w:t xml:space="preserve">6.2 Advisory Committee</w:t>
      </w:r>
    </w:p>
    <w:p>
      <w:pPr>
        <w:spacing w:after="160"/>
      </w:pPr>
      <w:r>
        <w:rPr>
          <w:rFonts w:ascii="Arial" w:cs="Arial" w:eastAsia="Arial" w:hAnsi="Arial"/>
          <w:b w:val="false"/>
          <w:bCs w:val="false"/>
          <w:color w:val="1A1A1A"/>
          <w:sz w:val="22"/>
          <w:szCs w:val="22"/>
        </w:rPr>
        <w:t xml:space="preserve">Within the first three months of appointment, the Fellow, in consultation with the primary mentor, must constitute an Advisory Committee comprising:</w:t>
      </w:r>
    </w:p>
    <w:p>
      <w:pPr>
        <w:pStyle w:val="ListParagraph"/>
        <w:numPr>
          <w:ilvl w:val="0"/>
          <w:numId w:val="3"/>
        </w:numPr>
        <w:spacing w:after="80"/>
      </w:pPr>
      <w:r>
        <w:rPr>
          <w:rFonts w:ascii="Arial" w:cs="Arial" w:eastAsia="Arial" w:hAnsi="Arial"/>
          <w:sz w:val="22"/>
          <w:szCs w:val="22"/>
        </w:rPr>
        <w:t xml:space="preserve">The primary mentor (non-voting chair).</w:t>
      </w:r>
    </w:p>
    <w:p>
      <w:pPr>
        <w:pStyle w:val="ListParagraph"/>
        <w:numPr>
          <w:ilvl w:val="0"/>
          <w:numId w:val="3"/>
        </w:numPr>
        <w:spacing w:after="80"/>
      </w:pPr>
      <w:r>
        <w:rPr>
          <w:rFonts w:ascii="Arial" w:cs="Arial" w:eastAsia="Arial" w:hAnsi="Arial"/>
          <w:sz w:val="22"/>
          <w:szCs w:val="22"/>
        </w:rPr>
        <w:t xml:space="preserve">One additional Veyra PI from the same division.</w:t>
      </w:r>
    </w:p>
    <w:p>
      <w:pPr>
        <w:pStyle w:val="ListParagraph"/>
        <w:numPr>
          <w:ilvl w:val="0"/>
          <w:numId w:val="3"/>
        </w:numPr>
        <w:spacing w:after="80"/>
      </w:pPr>
      <w:r>
        <w:rPr>
          <w:rFonts w:ascii="Arial" w:cs="Arial" w:eastAsia="Arial" w:hAnsi="Arial"/>
          <w:sz w:val="22"/>
          <w:szCs w:val="22"/>
        </w:rPr>
        <w:t xml:space="preserve">One researcher from outside the division (Institute or external).</w:t>
      </w:r>
    </w:p>
    <w:p>
      <w:pPr>
        <w:spacing w:after="160"/>
      </w:pPr>
      <w:r>
        <w:rPr>
          <w:rFonts w:ascii="Arial" w:cs="Arial" w:eastAsia="Arial" w:hAnsi="Arial"/>
          <w:b w:val="false"/>
          <w:bCs w:val="false"/>
          <w:color w:val="1A1A1A"/>
          <w:sz w:val="22"/>
          <w:szCs w:val="22"/>
        </w:rPr>
        <w:t xml:space="preserve">The Advisory Committee meets formally at the six-month check-in and at each annual review. An informal meeting may be convened at any time at the Fellow's request.</w:t>
      </w:r>
    </w:p>
    <w:p>
      <w:pPr>
        <w:pStyle w:val="Heading1"/>
      </w:pPr>
      <w:r>
        <w:rPr>
          <w:rFonts w:ascii="Arial" w:cs="Arial" w:eastAsia="Arial" w:hAnsi="Arial"/>
          <w:b/>
          <w:bCs/>
          <w:color w:val="1A1A1A"/>
          <w:sz w:val="44"/>
          <w:szCs w:val="44"/>
        </w:rPr>
        <w:t xml:space="preserve">7. Expectations and Milestones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4200"/>
        <w:gridCol w:w="3680"/>
      </w:tblGrid>
      <w:tr>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Milestone</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Content</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Deadline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Induction</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Complete mandatory safety, data, and ethics training modules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Within 4 weeks of start</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Research plan</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Two-page written research plan submitted to advisory committee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Month 3</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Six-month check-in</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Oral presentation to advisory committee; written summary</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Month 6</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Annual review</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Full progress report, publications list, career development update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Month 12 and annually</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Renewal application</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Written case for extension, mentor endorsement</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Month 20</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Exit report</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Summary of outputs, data management statement, handover notes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Final month</w:t>
            </w:r>
          </w:p>
        </w:tc>
      </w:tr>
    </w:tbl>
    <w:p>
      <w:pPr>
        <w:spacing w:after="200"/>
      </w:pPr>
      <w:r>
        <w:t xml:space="preserve"/>
      </w:r>
    </w:p>
    <w:p>
      <w:pPr>
        <w:pStyle w:val="Heading1"/>
      </w:pPr>
      <w:r>
        <w:rPr>
          <w:rFonts w:ascii="Arial" w:cs="Arial" w:eastAsia="Arial" w:hAnsi="Arial"/>
          <w:b/>
          <w:bCs/>
          <w:color w:val="1A1A1A"/>
          <w:sz w:val="44"/>
          <w:szCs w:val="44"/>
        </w:rPr>
        <w:t xml:space="preserve">8. Career Development</w:t>
      </w:r>
    </w:p>
    <w:p>
      <w:pPr>
        <w:spacing w:after="160"/>
      </w:pPr>
      <w:r>
        <w:rPr>
          <w:rFonts w:ascii="Arial" w:cs="Arial" w:eastAsia="Arial" w:hAnsi="Arial"/>
          <w:b w:val="false"/>
          <w:bCs w:val="false"/>
          <w:color w:val="1A1A1A"/>
          <w:sz w:val="22"/>
          <w:szCs w:val="22"/>
        </w:rPr>
        <w:t xml:space="preserve">The Institute's Career Development Office (CDO) provides tailored support for Veyra Fellows, including:</w:t>
      </w:r>
    </w:p>
    <w:p>
      <w:pPr>
        <w:pStyle w:val="ListParagraph"/>
        <w:numPr>
          <w:ilvl w:val="0"/>
          <w:numId w:val="2"/>
        </w:numPr>
        <w:spacing w:after="80"/>
      </w:pPr>
      <w:r>
        <w:rPr>
          <w:rFonts w:ascii="Arial" w:cs="Arial" w:eastAsia="Arial" w:hAnsi="Arial"/>
          <w:sz w:val="22"/>
          <w:szCs w:val="22"/>
        </w:rPr>
        <w:t xml:space="preserve">Individual career planning sessions (up to four per fellowship year).</w:t>
      </w:r>
    </w:p>
    <w:p>
      <w:pPr>
        <w:pStyle w:val="ListParagraph"/>
        <w:numPr>
          <w:ilvl w:val="0"/>
          <w:numId w:val="2"/>
        </w:numPr>
        <w:spacing w:after="80"/>
      </w:pPr>
      <w:r>
        <w:rPr>
          <w:rFonts w:ascii="Arial" w:cs="Arial" w:eastAsia="Arial" w:hAnsi="Arial"/>
          <w:sz w:val="22"/>
          <w:szCs w:val="22"/>
        </w:rPr>
        <w:t xml:space="preserve">Academic job market workshops run each October and February.</w:t>
      </w:r>
    </w:p>
    <w:p>
      <w:pPr>
        <w:pStyle w:val="ListParagraph"/>
        <w:numPr>
          <w:ilvl w:val="0"/>
          <w:numId w:val="2"/>
        </w:numPr>
        <w:spacing w:after="80"/>
      </w:pPr>
      <w:r>
        <w:rPr>
          <w:rFonts w:ascii="Arial" w:cs="Arial" w:eastAsia="Arial" w:hAnsi="Arial"/>
          <w:sz w:val="22"/>
          <w:szCs w:val="22"/>
        </w:rPr>
        <w:t xml:space="preserve">Industry liaison program: structured introductions to partnered organizations.</w:t>
      </w:r>
    </w:p>
    <w:p>
      <w:pPr>
        <w:pStyle w:val="ListParagraph"/>
        <w:numPr>
          <w:ilvl w:val="0"/>
          <w:numId w:val="2"/>
        </w:numPr>
        <w:spacing w:after="80"/>
      </w:pPr>
      <w:r>
        <w:rPr>
          <w:rFonts w:ascii="Arial" w:cs="Arial" w:eastAsia="Arial" w:hAnsi="Arial"/>
          <w:sz w:val="22"/>
          <w:szCs w:val="22"/>
        </w:rPr>
        <w:t xml:space="preserve">Grant writing courses offered jointly with the Research Office (see schedule at education.veyra.example).</w:t>
      </w:r>
    </w:p>
    <w:p>
      <w:pPr>
        <w:pStyle w:val="ListParagraph"/>
        <w:numPr>
          <w:ilvl w:val="0"/>
          <w:numId w:val="2"/>
        </w:numPr>
        <w:spacing w:after="80"/>
      </w:pPr>
      <w:r>
        <w:rPr>
          <w:rFonts w:ascii="Arial" w:cs="Arial" w:eastAsia="Arial" w:hAnsi="Arial"/>
          <w:sz w:val="22"/>
          <w:szCs w:val="22"/>
        </w:rPr>
        <w:t xml:space="preserve">Teaching practicum: Fellows may undertake supervised teaching of up to 40 hours per year at no stipend reduction.</w:t>
      </w:r>
    </w:p>
    <w:p>
      <w:pPr>
        <w:spacing w:after="160"/>
      </w:pPr>
      <w:r>
        <w:rPr>
          <w:rFonts w:ascii="Arial" w:cs="Arial" w:eastAsia="Arial" w:hAnsi="Arial"/>
          <w:b w:val="false"/>
          <w:bCs w:val="false"/>
          <w:color w:val="1A1A1A"/>
          <w:sz w:val="22"/>
          <w:szCs w:val="22"/>
        </w:rPr>
        <w:t xml:space="preserve">Fellows are encouraged to apply for independent fellowship grants (e.g., through external funding bodies) during their tenure. The Research Office provides pre-submission review support.</w:t>
      </w:r>
    </w:p>
    <w:p>
      <w:pPr>
        <w:pStyle w:val="Heading1"/>
      </w:pPr>
      <w:r>
        <w:rPr>
          <w:rFonts w:ascii="Arial" w:cs="Arial" w:eastAsia="Arial" w:hAnsi="Arial"/>
          <w:b/>
          <w:bCs/>
          <w:color w:val="1A1A1A"/>
          <w:sz w:val="44"/>
          <w:szCs w:val="44"/>
        </w:rPr>
        <w:t xml:space="preserve">9. Policies</w:t>
      </w:r>
    </w:p>
    <w:p>
      <w:pPr>
        <w:pStyle w:val="Heading2"/>
      </w:pPr>
      <w:r>
        <w:rPr>
          <w:rFonts w:ascii="Arial" w:cs="Arial" w:eastAsia="Arial" w:hAnsi="Arial"/>
          <w:b/>
          <w:bCs/>
          <w:color w:val="1A1A1A"/>
          <w:sz w:val="32"/>
          <w:szCs w:val="32"/>
        </w:rPr>
        <w:t xml:space="preserve">9.1 Intellectual Property</w:t>
      </w:r>
    </w:p>
    <w:p>
      <w:pPr>
        <w:spacing w:after="160"/>
      </w:pPr>
      <w:r>
        <w:rPr>
          <w:rFonts w:ascii="Arial" w:cs="Arial" w:eastAsia="Arial" w:hAnsi="Arial"/>
          <w:b w:val="false"/>
          <w:bCs w:val="false"/>
          <w:color w:val="1A1A1A"/>
          <w:sz w:val="22"/>
          <w:szCs w:val="22"/>
        </w:rPr>
        <w:t xml:space="preserve">Research conducted during the fellowship and using Institute resources is subject to the Veyra IP Policy (document VX-POL-007). In brief: IP generated primarily using Institute resources vests with the Institute; the Fellow is entitled to inventor recognition and a share of any licensing proceeds per the revenue-sharing schedule (typically 25% to named inventors after costs).</w:t>
      </w:r>
    </w:p>
    <w:p>
      <w:pPr>
        <w:pStyle w:val="Heading2"/>
      </w:pPr>
      <w:r>
        <w:rPr>
          <w:rFonts w:ascii="Arial" w:cs="Arial" w:eastAsia="Arial" w:hAnsi="Arial"/>
          <w:b/>
          <w:bCs/>
          <w:color w:val="1A1A1A"/>
          <w:sz w:val="32"/>
          <w:szCs w:val="32"/>
        </w:rPr>
        <w:t xml:space="preserve">9.2 Leave</w:t>
      </w:r>
    </w:p>
    <w:p>
      <w:pPr>
        <w:spacing w:after="160"/>
      </w:pPr>
      <w:r>
        <w:rPr>
          <w:rFonts w:ascii="Arial" w:cs="Arial" w:eastAsia="Arial" w:hAnsi="Arial"/>
          <w:b w:val="false"/>
          <w:bCs w:val="false"/>
          <w:color w:val="1A1A1A"/>
          <w:sz w:val="22"/>
          <w:szCs w:val="22"/>
        </w:rPr>
        <w:t xml:space="preserve">Fellows are entitled to 25 days of paid annual leave per 12-month period. Parental leave provisions follow the Institute's standard policy (document VX-POL-012). Sick leave is uncapped for the first 30 days per year; extended absence requires HR approval. Fieldwork and conference attendance do not count against annual leave.</w:t>
      </w:r>
    </w:p>
    <w:p>
      <w:pPr>
        <w:pStyle w:val="Heading2"/>
      </w:pPr>
      <w:r>
        <w:rPr>
          <w:rFonts w:ascii="Arial" w:cs="Arial" w:eastAsia="Arial" w:hAnsi="Arial"/>
          <w:b/>
          <w:bCs/>
          <w:color w:val="1A1A1A"/>
          <w:sz w:val="32"/>
          <w:szCs w:val="32"/>
        </w:rPr>
        <w:t xml:space="preserve">9.3 Conflicts of Interest</w:t>
      </w:r>
    </w:p>
    <w:p>
      <w:pPr>
        <w:spacing w:after="160"/>
      </w:pPr>
      <w:r>
        <w:rPr>
          <w:rFonts w:ascii="Arial" w:cs="Arial" w:eastAsia="Arial" w:hAnsi="Arial"/>
          <w:b w:val="false"/>
          <w:bCs w:val="false"/>
          <w:color w:val="1A1A1A"/>
          <w:sz w:val="22"/>
          <w:szCs w:val="22"/>
        </w:rPr>
        <w:t xml:space="preserve">Fellows must disclose any consulting agreements, equity positions, or other external commitments to the Research Integrity Office within 14 days of commencement and within 7 days of acquiring any new commitment thereafter. Approved activities must not exceed 20 hours per month and must not compromise Institute IP.</w:t>
      </w:r>
    </w:p>
    <w:p>
      <w:pPr>
        <w:pStyle w:val="Heading2"/>
      </w:pPr>
      <w:r>
        <w:rPr>
          <w:rFonts w:ascii="Arial" w:cs="Arial" w:eastAsia="Arial" w:hAnsi="Arial"/>
          <w:b/>
          <w:bCs/>
          <w:color w:val="1A1A1A"/>
          <w:sz w:val="32"/>
          <w:szCs w:val="32"/>
        </w:rPr>
        <w:t xml:space="preserve">9.4 Misconduct and Grievance</w:t>
      </w:r>
    </w:p>
    <w:p>
      <w:pPr>
        <w:spacing w:after="160"/>
      </w:pPr>
      <w:r>
        <w:rPr>
          <w:rFonts w:ascii="Arial" w:cs="Arial" w:eastAsia="Arial" w:hAnsi="Arial"/>
          <w:b w:val="false"/>
          <w:bCs w:val="false"/>
          <w:color w:val="1A1A1A"/>
          <w:sz w:val="22"/>
          <w:szCs w:val="22"/>
        </w:rPr>
        <w:t xml:space="preserve">Fellows are bound by the Veyra Code of Conduct (document VX-COC-001) and the Research Integrity Policy (VX-POL-019). Concerns may be raised confidentially with the Research Integrity Officer (rio@veyra.example) or, if the matter involves the primary mentor, directly with the Dean of the Graduate School.</w:t>
      </w:r>
    </w:p>
    <w:p>
      <w:pPr>
        <w:pStyle w:val="Heading1"/>
      </w:pPr>
      <w:r>
        <w:rPr>
          <w:rFonts w:ascii="Arial" w:cs="Arial" w:eastAsia="Arial" w:hAnsi="Arial"/>
          <w:b/>
          <w:bCs/>
          <w:color w:val="1A1A1A"/>
          <w:sz w:val="44"/>
          <w:szCs w:val="44"/>
        </w:rPr>
        <w:t xml:space="preserve">10. Administrative Contacts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600"/>
        <w:gridCol w:w="3200"/>
        <w:gridCol w:w="3280"/>
      </w:tblGrid>
      <w:tr>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Office</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Contact</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Email</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Graduate School</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Dr. Anselm Faraday-Cole (COO)</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a.faraday-cole@veyra.example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Career Development</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Fellowships Coordinator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fellows@veyra.example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Research Office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Grants &amp; Contracts team</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research@veyra.example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Human Resources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HR Postdoctoral Advisor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hr@veyra.example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Research Integrity</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Research Integrity Officer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rio@veyra.example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Welfare Office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Fellow Welfare Lead</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welfare@veyra.example</w:t>
            </w:r>
          </w:p>
        </w:tc>
      </w:tr>
    </w:tbl>
    <w:p>
      <w:pPr>
        <w:spacing w:after="200"/>
      </w:pPr>
      <w:r>
        <w:t xml:space="preserve"/>
      </w:r>
    </w:p>
    <w:p>
      <w:pPr>
        <w:spacing w:after="160"/>
      </w:pPr>
      <w:r>
        <w:rPr>
          <w:rFonts w:ascii="Arial" w:cs="Arial" w:eastAsia="Arial" w:hAnsi="Arial"/>
          <w:b w:val="false"/>
          <w:bCs w:val="false"/>
          <w:color w:val="555555"/>
          <w:sz w:val="18"/>
          <w:szCs w:val="18"/>
        </w:rPr>
        <w:t xml:space="preserve">This handbook is reviewed annually by the Graduate School. The definitive version is the PDF posted at education.veyra.example/postdoc. Printed copies are for reference only.</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pPr>
    <w:r>
      <w:rPr>
        <w:rFonts w:ascii="Arial" w:cs="Arial" w:eastAsia="Arial" w:hAnsi="Arial"/>
        <w:color w:val="555555"/>
        <w:sz w:val="16"/>
        <w:szCs w:val="16"/>
      </w:rPr>
      <w:t xml:space="preserve">14 Aldermere Way, Arenfield AR-4400  |  veyra.example</w:t>
    </w:r>
    <w:r>
      <w:rPr>
        <w:rFonts w:ascii="Arial" w:cs="Arial" w:eastAsia="Arial" w:hAnsi="Arial"/>
        <w:color w:val="555555"/>
        <w:sz w:val="16"/>
        <w:szCs w:val="16"/>
      </w:rPr>
      <w:t xml:space="preserve">	Page </w:t>
    </w:r>
    <w:r>
      <w:rPr>
        <w:rFonts w:ascii="Arial" w:cs="Arial" w:eastAsia="Arial" w:hAnsi="Arial"/>
        <w:color w:val="555555"/>
        <w:sz w:val="16"/>
        <w:szCs w:val="16"/>
      </w:rPr>
      <w:fldChar w:fldCharType="begin"/>
      <w:instrText xml:space="preserve">PAGE</w:instrText>
      <w:fldChar w:fldCharType="separate"/>
      <w:fldChar w:fldCharType="end"/>
    </w:r>
    <w:r>
      <w:rPr>
        <w:rFonts w:ascii="Arial" w:cs="Arial" w:eastAsia="Arial" w:hAnsi="Arial"/>
        <w:color w:val="555555"/>
        <w:sz w:val="16"/>
        <w:szCs w:val="16"/>
      </w:rPr>
      <w:t xml:space="preserve"> of </w:t>
    </w:r>
    <w:r>
      <w:rPr>
        <w:rFonts w:ascii="Arial" w:cs="Arial" w:eastAsia="Arial" w:hAnsi="Arial"/>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tabs>
        <w:tab w:val="right" w:pos="9026"/>
      </w:tabs>
    </w:pPr>
    <w:r>
      <w:rPr>
        <w:rFonts w:ascii="Arial" w:cs="Arial" w:eastAsia="Arial" w:hAnsi="Arial"/>
        <w:color w:val="555555"/>
        <w:sz w:val="18"/>
        <w:szCs w:val="18"/>
      </w:rPr>
      <w:t xml:space="preserve">Veyra Institute for Applied Sciences</w:t>
    </w:r>
    <w:r>
      <w:rPr>
        <w:rFonts w:ascii="Arial" w:cs="Arial" w:eastAsia="Arial" w:hAnsi="Arial"/>
        <w:color w:val="555555"/>
        <w:sz w:val="18"/>
        <w:szCs w:val="18"/>
      </w:rPr>
      <w:t xml:space="preserve">	Postdoctoral Handbook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A1A1A"/>
      <w:sz w:val="44"/>
      <w:szCs w:val="44"/>
    </w:rPr>
  </w:style>
  <w:style w:type="paragraph" w:styleId="Heading2">
    <w:name w:val="Heading 2"/>
    <w:basedOn w:val="Normal"/>
    <w:next w:val="Normal"/>
    <w:qFormat/>
    <w:pPr>
      <w:spacing w:after="160" w:before="360"/>
      <w:outlineLvl w:val="1"/>
    </w:pPr>
    <w:rPr>
      <w:rFonts w:ascii="Arial" w:cs="Arial" w:eastAsia="Arial" w:hAnsi="Arial"/>
      <w:b/>
      <w:bCs/>
      <w:color w:val="1A1A1A"/>
      <w:sz w:val="32"/>
      <w:szCs w:val="32"/>
    </w:rPr>
  </w:style>
  <w:style w:type="paragraph" w:styleId="Heading3">
    <w:name w:val="Heading 3"/>
    <w:basedOn w:val="Normal"/>
    <w:next w:val="Normal"/>
    <w:qFormat/>
    <w:pPr>
      <w:spacing w:after="100" w:before="280"/>
      <w:outlineLvl w:val="2"/>
    </w:pPr>
    <w:rPr>
      <w:rFonts w:ascii="Arial" w:cs="Arial" w:eastAsia="Arial" w:hAnsi="Arial"/>
      <w:b/>
      <w:bCs/>
      <w:color w:val="2C4C8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2026-06-27T07:54:15.598Z</dcterms:created>
  <dcterms:modified xsi:type="dcterms:W3CDTF">2026-06-27T07:54:15.599Z</dcterms:modified>
</cp:coreProperties>
</file>

<file path=docProps/custom.xml><?xml version="1.0" encoding="utf-8"?>
<Properties xmlns="http://schemas.openxmlformats.org/officeDocument/2006/custom-properties" xmlns:vt="http://schemas.openxmlformats.org/officeDocument/2006/docPropsVTypes"/>
</file>